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A1B967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936311">
        <w:rPr>
          <w:bCs/>
          <w:noProof w:val="0"/>
          <w:sz w:val="24"/>
          <w:szCs w:val="24"/>
        </w:rPr>
        <w:t>0</w:t>
      </w:r>
      <w:r w:rsidR="0025466F">
        <w:rPr>
          <w:bCs/>
          <w:noProof w:val="0"/>
          <w:sz w:val="24"/>
          <w:szCs w:val="24"/>
        </w:rPr>
        <w:t>5400</w:t>
      </w:r>
      <w:bookmarkStart w:id="1" w:name="_GoBack"/>
      <w:bookmarkEnd w:id="1"/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70DB3"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970DB3"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70DB3"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AF5251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F12CB">
        <w:rPr>
          <w:rFonts w:cs="Arial"/>
          <w:b/>
          <w:bCs/>
          <w:sz w:val="24"/>
          <w:lang w:eastAsia="ja-JP"/>
        </w:rPr>
        <w:t>8</w:t>
      </w:r>
      <w:r w:rsidR="002747EC">
        <w:rPr>
          <w:rFonts w:cs="Arial"/>
          <w:b/>
          <w:bCs/>
          <w:sz w:val="24"/>
          <w:lang w:eastAsia="ja-JP"/>
        </w:rPr>
        <w:t>.</w:t>
      </w:r>
      <w:r w:rsidR="00FF12CB">
        <w:rPr>
          <w:rFonts w:cs="Arial"/>
          <w:b/>
          <w:bCs/>
          <w:sz w:val="24"/>
          <w:lang w:eastAsia="ja-JP"/>
        </w:rPr>
        <w:t>13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F13BC0">
        <w:rPr>
          <w:rFonts w:cs="Arial"/>
          <w:b/>
          <w:bCs/>
          <w:sz w:val="24"/>
          <w:lang w:eastAsia="ja-JP"/>
        </w:rPr>
        <w:t>3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668EDB7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F12CB">
        <w:rPr>
          <w:rFonts w:ascii="Arial" w:hAnsi="Arial" w:cs="Arial"/>
          <w:b/>
          <w:bCs/>
          <w:sz w:val="24"/>
        </w:rPr>
        <w:t>V2X UE capabilities</w:t>
      </w:r>
      <w:r w:rsidR="00123898">
        <w:rPr>
          <w:rFonts w:ascii="Arial" w:hAnsi="Arial" w:cs="Arial"/>
          <w:b/>
          <w:bCs/>
          <w:sz w:val="24"/>
        </w:rPr>
        <w:t xml:space="preserve"> –</w:t>
      </w:r>
      <w:r w:rsidR="00011031">
        <w:rPr>
          <w:rFonts w:ascii="Arial" w:hAnsi="Arial" w:cs="Arial"/>
          <w:b/>
          <w:bCs/>
          <w:sz w:val="24"/>
        </w:rPr>
        <w:t xml:space="preserve"> ultimate</w:t>
      </w:r>
      <w:r w:rsidR="00123898">
        <w:rPr>
          <w:rFonts w:ascii="Arial" w:hAnsi="Arial" w:cs="Arial"/>
          <w:b/>
          <w:bCs/>
          <w:sz w:val="24"/>
        </w:rPr>
        <w:t xml:space="preserve"> view</w:t>
      </w:r>
    </w:p>
    <w:p w14:paraId="3AC3A0B1" w14:textId="1CACA44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23898" w:rsidRPr="00123898">
        <w:rPr>
          <w:rFonts w:ascii="Arial" w:hAnsi="Arial" w:cs="Arial"/>
          <w:b/>
          <w:bCs/>
          <w:sz w:val="24"/>
        </w:rPr>
        <w:t>LTE_V2X-Core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F12CB">
        <w:rPr>
          <w:rFonts w:ascii="Arial" w:hAnsi="Arial" w:cs="Arial"/>
          <w:b/>
          <w:bCs/>
          <w:sz w:val="24"/>
        </w:rPr>
        <w:t>14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9AAF06E" w:rsidR="00CD4C7B" w:rsidRDefault="00FF12CB" w:rsidP="00417E23">
      <w:pPr>
        <w:jc w:val="both"/>
      </w:pPr>
      <w:r>
        <w:t>This paper is aime</w:t>
      </w:r>
      <w:r w:rsidR="00DB6429">
        <w:t>d at discussing few unclear issu</w:t>
      </w:r>
      <w:r>
        <w:t xml:space="preserve">es related to V2X UE capabilities which popped up during dedicated RAN2 e-mail discussion (i.e. </w:t>
      </w:r>
      <w:r w:rsidRPr="00011031">
        <w:rPr>
          <w:i/>
        </w:rPr>
        <w:t>[97bis#17][LTE/V2X] – V2X UE capabilities – LG</w:t>
      </w:r>
      <w:r>
        <w:t xml:space="preserve">). The aforementioned e-mail discussion was concluded with the following proposals </w:t>
      </w:r>
      <w:r>
        <w:fldChar w:fldCharType="begin"/>
      </w:r>
      <w:r>
        <w:instrText xml:space="preserve"> REF _Ref481666227 \r \h </w:instrText>
      </w:r>
      <w:r w:rsidR="00417E23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12CB" w:rsidRPr="00FF12CB" w14:paraId="4975173E" w14:textId="77777777" w:rsidTr="00FF12CB">
        <w:tc>
          <w:tcPr>
            <w:tcW w:w="9631" w:type="dxa"/>
          </w:tcPr>
          <w:p w14:paraId="228C6CA9" w14:textId="22E8058D" w:rsidR="00FF12CB" w:rsidRDefault="00FF12CB" w:rsidP="00FF12CB">
            <w:r>
              <w:t>Proposal 1</w:t>
            </w:r>
            <w:r>
              <w:tab/>
              <w:t>: Further discuss whether to have one list which includes Tx/Rx configuration together (option 2-1) or to have separate list for Tx and Rx configuration (option 2).</w:t>
            </w:r>
          </w:p>
          <w:p w14:paraId="00314F63" w14:textId="6C9840BF" w:rsidR="00FF12CB" w:rsidRDefault="00FF12CB" w:rsidP="00FF12CB">
            <w:r>
              <w:t>Proposal 2</w:t>
            </w:r>
            <w:r>
              <w:tab/>
              <w:t>: Introduce per-UE capability signalling for SLSS transmission and reception.</w:t>
            </w:r>
          </w:p>
          <w:p w14:paraId="7EBF4115" w14:textId="0F451106" w:rsidR="00FF12CB" w:rsidRDefault="00FF12CB" w:rsidP="00FF12CB">
            <w:r>
              <w:t>Proposal 3</w:t>
            </w:r>
            <w:r>
              <w:tab/>
              <w:t>: Not to introduce capability signalling for “no sensing capability”.</w:t>
            </w:r>
          </w:p>
          <w:p w14:paraId="650344D9" w14:textId="1D409075" w:rsidR="00FF12CB" w:rsidRPr="00FF12CB" w:rsidRDefault="00FF12CB" w:rsidP="00FF12CB">
            <w:r>
              <w:t>Proposal 4</w:t>
            </w:r>
            <w:r>
              <w:tab/>
              <w:t>: Not to introduce capability signalling for “receiving sidelink mode 3 and 4”.</w:t>
            </w:r>
          </w:p>
        </w:tc>
      </w:tr>
    </w:tbl>
    <w:p w14:paraId="172F2891" w14:textId="413AE5EF" w:rsidR="00FF12CB" w:rsidRPr="00FF12CB" w:rsidRDefault="00FF12CB" w:rsidP="00417E23">
      <w:pPr>
        <w:jc w:val="both"/>
        <w:rPr>
          <w:lang w:val="en-US"/>
        </w:rPr>
      </w:pPr>
      <w:r>
        <w:rPr>
          <w:lang w:val="en-US"/>
        </w:rPr>
        <w:br/>
        <w:t xml:space="preserve">One can easily notice that at least Proposal 1 requires additional discussion. Furthermore, some controversies were expressed with respect to </w:t>
      </w:r>
      <w:r w:rsidR="00123898">
        <w:rPr>
          <w:lang w:val="en-US"/>
        </w:rPr>
        <w:t>Proposal 4 as well as whether associated capabilities should have the same applicability</w:t>
      </w:r>
      <w:r w:rsidR="00A10A3F">
        <w:rPr>
          <w:lang w:val="en-US"/>
        </w:rPr>
        <w:t xml:space="preserve"> range</w:t>
      </w:r>
      <w:r w:rsidR="00123898">
        <w:rPr>
          <w:lang w:val="en-US"/>
        </w:rPr>
        <w:t xml:space="preserve"> (i.e. per band/band combination/per UE).</w:t>
      </w:r>
    </w:p>
    <w:p w14:paraId="127ACA6D" w14:textId="26F03101" w:rsidR="00CD4C7B" w:rsidRPr="00FF12CB" w:rsidRDefault="00CD4C7B" w:rsidP="00CD4C7B">
      <w:pPr>
        <w:pStyle w:val="Heading1"/>
        <w:rPr>
          <w:lang w:val="en-US"/>
        </w:rPr>
      </w:pPr>
      <w:r w:rsidRPr="00FF12CB">
        <w:rPr>
          <w:lang w:val="en-US"/>
        </w:rPr>
        <w:t>2</w:t>
      </w:r>
      <w:r w:rsidRPr="00FF12CB">
        <w:rPr>
          <w:lang w:val="en-US"/>
        </w:rPr>
        <w:tab/>
      </w:r>
      <w:r w:rsidR="00123898">
        <w:rPr>
          <w:lang w:val="en-US"/>
        </w:rPr>
        <w:t>Discussion</w:t>
      </w:r>
    </w:p>
    <w:p w14:paraId="5FF0E443" w14:textId="1B970F21" w:rsidR="00CD4C7B" w:rsidRPr="007C56E6" w:rsidRDefault="007C56E6" w:rsidP="00123898">
      <w:pPr>
        <w:rPr>
          <w:lang w:val="en-US"/>
        </w:rPr>
      </w:pPr>
      <w:r>
        <w:rPr>
          <w:lang w:val="en-US"/>
        </w:rPr>
        <w:t>The</w:t>
      </w:r>
      <w:r w:rsidRPr="007C56E6">
        <w:rPr>
          <w:lang w:val="en-US"/>
        </w:rPr>
        <w:t xml:space="preserve"> following subsections briefly outline Nokia’s view on </w:t>
      </w:r>
      <w:r w:rsidR="00A10A3F">
        <w:rPr>
          <w:lang w:val="en-US"/>
        </w:rPr>
        <w:t>“</w:t>
      </w:r>
      <w:r w:rsidRPr="007C56E6">
        <w:rPr>
          <w:lang w:val="en-US"/>
        </w:rPr>
        <w:t>contentious</w:t>
      </w:r>
      <w:r w:rsidR="00A10A3F">
        <w:rPr>
          <w:lang w:val="en-US"/>
        </w:rPr>
        <w:t>”</w:t>
      </w:r>
      <w:r w:rsidRPr="007C56E6">
        <w:rPr>
          <w:lang w:val="en-US"/>
        </w:rPr>
        <w:t xml:space="preserve"> V2X UE capability related issues.</w:t>
      </w:r>
      <w:r w:rsidR="00CD4C7B" w:rsidRPr="007C56E6">
        <w:rPr>
          <w:lang w:val="en-US"/>
        </w:rPr>
        <w:t xml:space="preserve"> </w:t>
      </w:r>
    </w:p>
    <w:p w14:paraId="3771C9CA" w14:textId="138FC211" w:rsidR="00CD4C7B" w:rsidRPr="00A10A3F" w:rsidRDefault="00123898" w:rsidP="00CD4C7B">
      <w:pPr>
        <w:pStyle w:val="Heading2"/>
        <w:rPr>
          <w:lang w:val="en-US"/>
        </w:rPr>
      </w:pPr>
      <w:r w:rsidRPr="00A10A3F">
        <w:rPr>
          <w:lang w:val="en-US"/>
        </w:rPr>
        <w:t>2</w:t>
      </w:r>
      <w:r w:rsidR="00CD4C7B" w:rsidRPr="00A10A3F">
        <w:rPr>
          <w:lang w:val="en-US"/>
        </w:rPr>
        <w:t>.1</w:t>
      </w:r>
      <w:r w:rsidR="00CD4C7B" w:rsidRPr="00A10A3F">
        <w:rPr>
          <w:lang w:val="en-US"/>
        </w:rPr>
        <w:tab/>
      </w:r>
      <w:r w:rsidR="007C56E6" w:rsidRPr="00A10A3F">
        <w:rPr>
          <w:lang w:val="en-US"/>
        </w:rPr>
        <w:t>Option 2 versus Option 2-1</w:t>
      </w:r>
    </w:p>
    <w:p w14:paraId="12400546" w14:textId="5389F450" w:rsidR="00AC0176" w:rsidRDefault="00C33CF3" w:rsidP="00F52F0B">
      <w:pPr>
        <w:jc w:val="both"/>
        <w:rPr>
          <w:lang w:val="en-US"/>
        </w:rPr>
      </w:pPr>
      <w:r w:rsidRPr="002F6322">
        <w:rPr>
          <w:lang w:val="en-US"/>
        </w:rPr>
        <w:t>Let’s begin with</w:t>
      </w:r>
      <w:r w:rsidR="002F6322" w:rsidRPr="002F6322">
        <w:rPr>
          <w:lang w:val="en-US"/>
        </w:rPr>
        <w:t xml:space="preserve"> the topic which brought</w:t>
      </w:r>
      <w:r w:rsidR="002F6322">
        <w:rPr>
          <w:lang w:val="en-US"/>
        </w:rPr>
        <w:t xml:space="preserve"> the biggest controversies when e-mail discussion on UE capa</w:t>
      </w:r>
      <w:r w:rsidR="00E63364">
        <w:rPr>
          <w:lang w:val="en-US"/>
        </w:rPr>
        <w:t>bilities was conducted. In a nutshell</w:t>
      </w:r>
      <w:r w:rsidR="002F6322">
        <w:rPr>
          <w:lang w:val="en-US"/>
        </w:rPr>
        <w:t>: Option 2</w:t>
      </w:r>
      <w:r w:rsidR="00E63364">
        <w:rPr>
          <w:lang w:val="en-US"/>
        </w:rPr>
        <w:t xml:space="preserve"> proposes to introduce</w:t>
      </w:r>
      <w:r w:rsidR="00537C36">
        <w:rPr>
          <w:lang w:val="en-US"/>
        </w:rPr>
        <w:t xml:space="preserve"> </w:t>
      </w:r>
      <w:r w:rsidR="00537C36" w:rsidRPr="00587877">
        <w:rPr>
          <w:i/>
        </w:rPr>
        <w:t>v2x-Supported</w:t>
      </w:r>
      <w:r w:rsidR="00537C36" w:rsidRPr="00587877">
        <w:rPr>
          <w:rFonts w:eastAsia="SimSun" w:hint="eastAsia"/>
          <w:i/>
          <w:lang w:eastAsia="zh-CN"/>
        </w:rPr>
        <w:t>Tx</w:t>
      </w:r>
      <w:r w:rsidR="00537C36" w:rsidRPr="00587877">
        <w:rPr>
          <w:i/>
        </w:rPr>
        <w:t>BandCombinationList</w:t>
      </w:r>
      <w:r w:rsidR="00537C36">
        <w:rPr>
          <w:rFonts w:eastAsia="SimSun" w:hint="eastAsia"/>
          <w:i/>
          <w:lang w:eastAsia="zh-CN"/>
        </w:rPr>
        <w:t>-r14</w:t>
      </w:r>
      <w:r w:rsidR="00537C36" w:rsidRPr="00587877">
        <w:rPr>
          <w:rFonts w:eastAsia="SimSun" w:hint="eastAsia"/>
          <w:lang w:eastAsia="zh-CN"/>
        </w:rPr>
        <w:t xml:space="preserve"> and </w:t>
      </w:r>
      <w:r w:rsidR="00537C36" w:rsidRPr="00587877">
        <w:rPr>
          <w:i/>
        </w:rPr>
        <w:t>v2x-Supported</w:t>
      </w:r>
      <w:r w:rsidR="00537C36" w:rsidRPr="00587877">
        <w:rPr>
          <w:rFonts w:eastAsia="SimSun" w:hint="eastAsia"/>
          <w:i/>
          <w:lang w:eastAsia="zh-CN"/>
        </w:rPr>
        <w:t>Rx</w:t>
      </w:r>
      <w:r w:rsidR="00537C36" w:rsidRPr="00587877">
        <w:rPr>
          <w:i/>
        </w:rPr>
        <w:t>BandCombinationList</w:t>
      </w:r>
      <w:r w:rsidR="00537C36">
        <w:rPr>
          <w:rFonts w:eastAsia="SimSun" w:hint="eastAsia"/>
          <w:i/>
          <w:lang w:eastAsia="zh-CN"/>
        </w:rPr>
        <w:t>-r14</w:t>
      </w:r>
      <w:r w:rsidR="00537C36">
        <w:rPr>
          <w:lang w:val="en-US"/>
        </w:rPr>
        <w:t xml:space="preserve">, whereas </w:t>
      </w:r>
      <w:r w:rsidR="00AC0176">
        <w:rPr>
          <w:lang w:val="en-US"/>
        </w:rPr>
        <w:t xml:space="preserve">Option 2-1 </w:t>
      </w:r>
      <w:r w:rsidR="00537C36">
        <w:rPr>
          <w:lang w:val="en-US"/>
        </w:rPr>
        <w:t xml:space="preserve">combines Tx/Rx in a single </w:t>
      </w:r>
      <w:r w:rsidR="00537C36" w:rsidRPr="00537C36">
        <w:rPr>
          <w:i/>
          <w:lang w:val="en-US"/>
        </w:rPr>
        <w:t>v2x-SupportedBandCombinationList</w:t>
      </w:r>
      <w:r w:rsidR="002F6322">
        <w:rPr>
          <w:lang w:val="en-US"/>
        </w:rPr>
        <w:t xml:space="preserve">. </w:t>
      </w:r>
      <w:r w:rsidR="00F52F0B">
        <w:rPr>
          <w:lang w:val="en-US"/>
        </w:rPr>
        <w:t xml:space="preserve">More details can be found under “Question 1” in </w:t>
      </w:r>
      <w:r w:rsidR="00F52F0B">
        <w:rPr>
          <w:lang w:val="en-US"/>
        </w:rPr>
        <w:fldChar w:fldCharType="begin"/>
      </w:r>
      <w:r w:rsidR="00F52F0B">
        <w:rPr>
          <w:lang w:val="en-US"/>
        </w:rPr>
        <w:instrText xml:space="preserve"> REF _Ref481666227 \r \h  \* MERGEFORMAT </w:instrText>
      </w:r>
      <w:r w:rsidR="00F52F0B">
        <w:rPr>
          <w:lang w:val="en-US"/>
        </w:rPr>
      </w:r>
      <w:r w:rsidR="00F52F0B">
        <w:rPr>
          <w:lang w:val="en-US"/>
        </w:rPr>
        <w:fldChar w:fldCharType="separate"/>
      </w:r>
      <w:r w:rsidR="00F52F0B">
        <w:rPr>
          <w:lang w:val="en-US"/>
        </w:rPr>
        <w:t>[1]</w:t>
      </w:r>
      <w:r w:rsidR="00F52F0B">
        <w:rPr>
          <w:lang w:val="en-US"/>
        </w:rPr>
        <w:fldChar w:fldCharType="end"/>
      </w:r>
      <w:r w:rsidR="00F52F0B">
        <w:rPr>
          <w:lang w:val="en-US"/>
        </w:rPr>
        <w:t xml:space="preserve">. </w:t>
      </w:r>
      <w:r w:rsidR="0066178B">
        <w:rPr>
          <w:lang w:val="en-US"/>
        </w:rPr>
        <w:t xml:space="preserve">We believe that sidelink </w:t>
      </w:r>
      <w:r w:rsidR="0066178B">
        <w:rPr>
          <w:rFonts w:eastAsia="SimSun" w:hint="eastAsia"/>
          <w:lang w:eastAsia="zh-CN"/>
        </w:rPr>
        <w:t xml:space="preserve">Tx and Rx capabilities for V2X </w:t>
      </w:r>
      <w:r w:rsidR="0066178B">
        <w:rPr>
          <w:rFonts w:eastAsia="SimSun"/>
          <w:lang w:eastAsia="zh-CN"/>
        </w:rPr>
        <w:t xml:space="preserve">not necessarily </w:t>
      </w:r>
      <w:r w:rsidR="0066178B">
        <w:rPr>
          <w:rFonts w:eastAsia="SimSun" w:hint="eastAsia"/>
          <w:lang w:eastAsia="zh-CN"/>
        </w:rPr>
        <w:t>have</w:t>
      </w:r>
      <w:r w:rsidR="0066178B">
        <w:rPr>
          <w:rFonts w:eastAsia="SimSun"/>
          <w:lang w:eastAsia="zh-CN"/>
        </w:rPr>
        <w:t xml:space="preserve"> to be dependent one another. </w:t>
      </w:r>
      <w:r w:rsidR="00537C36">
        <w:rPr>
          <w:rFonts w:eastAsia="SimSun"/>
          <w:lang w:eastAsia="zh-CN"/>
        </w:rPr>
        <w:t>In addition, it may be</w:t>
      </w:r>
      <w:r w:rsidR="00F52F0B">
        <w:rPr>
          <w:rFonts w:eastAsia="SimSun"/>
          <w:lang w:eastAsia="zh-CN"/>
        </w:rPr>
        <w:t>/is</w:t>
      </w:r>
      <w:r w:rsidR="00537C36">
        <w:rPr>
          <w:rFonts w:eastAsia="SimSun"/>
          <w:lang w:eastAsia="zh-CN"/>
        </w:rPr>
        <w:t xml:space="preserve"> beyond RAN</w:t>
      </w:r>
      <w:r w:rsidR="00F52F0B">
        <w:rPr>
          <w:rFonts w:eastAsia="SimSun"/>
          <w:lang w:eastAsia="zh-CN"/>
        </w:rPr>
        <w:t>2 responsibilities</w:t>
      </w:r>
      <w:r w:rsidR="00537C36">
        <w:rPr>
          <w:rFonts w:eastAsia="SimSun"/>
          <w:lang w:eastAsia="zh-CN"/>
        </w:rPr>
        <w:t xml:space="preserve"> to decide </w:t>
      </w:r>
      <w:r w:rsidR="00A10A3F">
        <w:rPr>
          <w:rFonts w:eastAsia="SimSun"/>
          <w:lang w:eastAsia="zh-CN"/>
        </w:rPr>
        <w:t xml:space="preserve">exactly </w:t>
      </w:r>
      <w:r w:rsidR="00537C36">
        <w:rPr>
          <w:rFonts w:eastAsia="SimSun"/>
          <w:lang w:eastAsia="zh-CN"/>
        </w:rPr>
        <w:t xml:space="preserve">which combinations of Tx/Rx to define. </w:t>
      </w:r>
      <w:r w:rsidR="0066178B">
        <w:rPr>
          <w:rFonts w:eastAsia="SimSun"/>
          <w:lang w:eastAsia="zh-CN"/>
        </w:rPr>
        <w:t xml:space="preserve">Thus, we prefer to </w:t>
      </w:r>
      <w:r w:rsidR="00537C36">
        <w:rPr>
          <w:rFonts w:eastAsia="SimSun"/>
          <w:lang w:eastAsia="zh-CN"/>
        </w:rPr>
        <w:t xml:space="preserve">introduce supported band combinations </w:t>
      </w:r>
      <w:r w:rsidR="0066178B">
        <w:rPr>
          <w:rFonts w:eastAsia="SimSun"/>
          <w:lang w:eastAsia="zh-CN"/>
        </w:rPr>
        <w:t>separate</w:t>
      </w:r>
      <w:r w:rsidR="00537C36">
        <w:rPr>
          <w:rFonts w:eastAsia="SimSun"/>
          <w:lang w:eastAsia="zh-CN"/>
        </w:rPr>
        <w:t>ly, in compliance with “Option 2” CR</w:t>
      </w:r>
      <w:r w:rsidR="0066178B">
        <w:rPr>
          <w:rFonts w:eastAsia="SimSun"/>
          <w:lang w:eastAsia="zh-CN"/>
        </w:rPr>
        <w:t xml:space="preserve">. </w:t>
      </w:r>
    </w:p>
    <w:p w14:paraId="0CC961D8" w14:textId="304E856F" w:rsidR="00C33CF3" w:rsidRPr="00A332C4" w:rsidRDefault="00A332C4" w:rsidP="00F52F0B">
      <w:pPr>
        <w:pStyle w:val="ListParagraph"/>
        <w:numPr>
          <w:ilvl w:val="0"/>
          <w:numId w:val="8"/>
        </w:numPr>
        <w:rPr>
          <w:b/>
          <w:lang w:val="en-US"/>
        </w:rPr>
      </w:pPr>
      <w:bookmarkStart w:id="2" w:name="_Ref481682808"/>
      <w:r w:rsidRPr="00A332C4">
        <w:rPr>
          <w:b/>
          <w:lang w:val="en-US"/>
        </w:rPr>
        <w:t xml:space="preserve">Introduce </w:t>
      </w:r>
      <w:r w:rsidRPr="00A332C4">
        <w:rPr>
          <w:b/>
          <w:i/>
        </w:rPr>
        <w:t>v2x-Supported</w:t>
      </w:r>
      <w:r w:rsidRPr="00A332C4">
        <w:rPr>
          <w:rFonts w:eastAsia="SimSun" w:hint="eastAsia"/>
          <w:b/>
          <w:i/>
          <w:lang w:eastAsia="zh-CN"/>
        </w:rPr>
        <w:t>Tx</w:t>
      </w:r>
      <w:r w:rsidRPr="00A332C4">
        <w:rPr>
          <w:b/>
          <w:i/>
        </w:rPr>
        <w:t>BandCombinationList</w:t>
      </w:r>
      <w:r w:rsidRPr="00A332C4">
        <w:rPr>
          <w:rFonts w:eastAsia="SimSun" w:hint="eastAsia"/>
          <w:b/>
          <w:i/>
          <w:lang w:eastAsia="zh-CN"/>
        </w:rPr>
        <w:t>-r14</w:t>
      </w:r>
      <w:r w:rsidRPr="00A332C4">
        <w:rPr>
          <w:rFonts w:eastAsia="SimSun"/>
          <w:b/>
          <w:lang w:eastAsia="zh-CN"/>
        </w:rPr>
        <w:t xml:space="preserve"> and </w:t>
      </w:r>
      <w:r w:rsidRPr="00A332C4">
        <w:rPr>
          <w:b/>
          <w:i/>
        </w:rPr>
        <w:t>v2x-Supported</w:t>
      </w:r>
      <w:r w:rsidRPr="00A332C4">
        <w:rPr>
          <w:rFonts w:eastAsia="SimSun" w:hint="eastAsia"/>
          <w:b/>
          <w:i/>
          <w:lang w:eastAsia="zh-CN"/>
        </w:rPr>
        <w:t>Rx</w:t>
      </w:r>
      <w:r w:rsidRPr="00A332C4">
        <w:rPr>
          <w:b/>
          <w:i/>
        </w:rPr>
        <w:t>BandCombinationList</w:t>
      </w:r>
      <w:r w:rsidRPr="00A332C4">
        <w:rPr>
          <w:rFonts w:eastAsia="SimSun" w:hint="eastAsia"/>
          <w:b/>
          <w:i/>
          <w:lang w:eastAsia="zh-CN"/>
        </w:rPr>
        <w:t>-r14</w:t>
      </w:r>
      <w:r w:rsidRPr="00A332C4">
        <w:rPr>
          <w:rFonts w:eastAsia="SimSun"/>
          <w:b/>
          <w:lang w:eastAsia="zh-CN"/>
        </w:rPr>
        <w:t>, separating transmission and reception band combination capabilities for V2X (i.e. Option 2).</w:t>
      </w:r>
      <w:bookmarkEnd w:id="2"/>
    </w:p>
    <w:p w14:paraId="5A7E381B" w14:textId="6E4DDA6D" w:rsidR="00CD4C7B" w:rsidRPr="007C56E6" w:rsidRDefault="007C56E6" w:rsidP="00CD4C7B">
      <w:pPr>
        <w:pStyle w:val="Heading2"/>
        <w:rPr>
          <w:lang w:val="en-US"/>
        </w:rPr>
      </w:pPr>
      <w:r w:rsidRPr="007C56E6">
        <w:rPr>
          <w:lang w:val="en-US"/>
        </w:rPr>
        <w:t>2</w:t>
      </w:r>
      <w:r w:rsidR="00CD4C7B" w:rsidRPr="007C56E6">
        <w:rPr>
          <w:lang w:val="en-US"/>
        </w:rPr>
        <w:t>.2</w:t>
      </w:r>
      <w:r w:rsidR="00CD4C7B" w:rsidRPr="007C56E6">
        <w:rPr>
          <w:lang w:val="en-US"/>
        </w:rPr>
        <w:tab/>
      </w:r>
      <w:r w:rsidRPr="007C56E6">
        <w:rPr>
          <w:lang w:val="en-US"/>
        </w:rPr>
        <w:t>Receiving sidelink mode 3 and 4</w:t>
      </w:r>
      <w:r w:rsidR="003614BB">
        <w:rPr>
          <w:lang w:val="en-US"/>
        </w:rPr>
        <w:t xml:space="preserve"> vs. V2X Rx in certain band </w:t>
      </w:r>
    </w:p>
    <w:p w14:paraId="458E3426" w14:textId="20A10B5C" w:rsidR="00CD4C7B" w:rsidRDefault="00011031" w:rsidP="001E4420">
      <w:pPr>
        <w:jc w:val="both"/>
        <w:rPr>
          <w:lang w:val="en-US"/>
        </w:rPr>
      </w:pPr>
      <w:r w:rsidRPr="00011031">
        <w:rPr>
          <w:lang w:val="en-US"/>
        </w:rPr>
        <w:t>Many companies (including Nokia) have expressed the opinion that</w:t>
      </w:r>
      <w:r>
        <w:rPr>
          <w:lang w:val="en-US"/>
        </w:rPr>
        <w:t xml:space="preserve"> a separate capability for</w:t>
      </w:r>
      <w:r w:rsidRPr="00011031">
        <w:rPr>
          <w:lang w:val="en-US"/>
        </w:rPr>
        <w:t xml:space="preserve"> „</w:t>
      </w:r>
      <w:r>
        <w:rPr>
          <w:lang w:val="en-US"/>
        </w:rPr>
        <w:t xml:space="preserve">Receiving sidelink mode 3 and 4” (as suggested by RAN1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_Ref481667156 \r \h </w:instrText>
      </w:r>
      <w:r w:rsidR="001E4420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 w:rsidR="00A10A3F">
        <w:rPr>
          <w:lang w:val="en-US"/>
        </w:rPr>
        <w:t>) may be actually redundant</w:t>
      </w:r>
      <w:r w:rsidR="0030456D">
        <w:rPr>
          <w:lang w:val="en-US"/>
        </w:rPr>
        <w:t xml:space="preserve">. </w:t>
      </w:r>
      <w:r w:rsidR="0030456D" w:rsidRPr="0030456D">
        <w:rPr>
          <w:lang w:val="en-US"/>
        </w:rPr>
        <w:t xml:space="preserve">It has been stated that it should be sufficient to rely on what is reported </w:t>
      </w:r>
      <w:r w:rsidR="0030456D">
        <w:rPr>
          <w:lang w:eastAsia="ko-KR"/>
        </w:rPr>
        <w:t>by the UE in supported ba</w:t>
      </w:r>
      <w:r w:rsidR="00A10A3F">
        <w:rPr>
          <w:lang w:eastAsia="ko-KR"/>
        </w:rPr>
        <w:t>nds/band combinations for V2X Rx</w:t>
      </w:r>
      <w:r w:rsidR="0030456D">
        <w:rPr>
          <w:lang w:eastAsia="ko-KR"/>
        </w:rPr>
        <w:t xml:space="preserve"> operation. Much as we agree there should not be an excessive number of UE capabilities defined, especi</w:t>
      </w:r>
      <w:r w:rsidR="00A10A3F">
        <w:rPr>
          <w:lang w:eastAsia="ko-KR"/>
        </w:rPr>
        <w:t>ally to signal the support of the same feature</w:t>
      </w:r>
      <w:r w:rsidR="0030456D">
        <w:rPr>
          <w:lang w:eastAsia="ko-KR"/>
        </w:rPr>
        <w:t>, we would like to point out</w:t>
      </w:r>
      <w:r w:rsidR="0045251C">
        <w:rPr>
          <w:lang w:eastAsia="ko-KR"/>
        </w:rPr>
        <w:t xml:space="preserve"> that for V2X </w:t>
      </w:r>
      <w:r w:rsidR="00435899">
        <w:rPr>
          <w:lang w:eastAsia="ko-KR"/>
        </w:rPr>
        <w:t xml:space="preserve">SL </w:t>
      </w:r>
      <w:r w:rsidR="0045251C">
        <w:rPr>
          <w:lang w:eastAsia="ko-KR"/>
        </w:rPr>
        <w:t>communications there might be several types of “Rx capability”.</w:t>
      </w:r>
      <w:r w:rsidR="0030456D">
        <w:rPr>
          <w:lang w:eastAsia="ko-KR"/>
        </w:rPr>
        <w:t xml:space="preserve">  </w:t>
      </w:r>
      <w:r w:rsidR="00435899">
        <w:rPr>
          <w:lang w:eastAsia="ko-KR"/>
        </w:rPr>
        <w:t xml:space="preserve">Please note that “10-1 </w:t>
      </w:r>
      <w:r w:rsidR="00435899" w:rsidRPr="00435899">
        <w:rPr>
          <w:lang w:eastAsia="ko-KR"/>
        </w:rPr>
        <w:t>Receiving Sidelink mode 3 and 4"</w:t>
      </w:r>
      <w:r w:rsidR="00435899">
        <w:rPr>
          <w:lang w:eastAsia="ko-KR"/>
        </w:rPr>
        <w:t xml:space="preserve"> (indicated in </w:t>
      </w:r>
      <w:r w:rsidR="00435899">
        <w:rPr>
          <w:lang w:eastAsia="ko-KR"/>
        </w:rPr>
        <w:fldChar w:fldCharType="begin"/>
      </w:r>
      <w:r w:rsidR="00435899">
        <w:rPr>
          <w:lang w:eastAsia="ko-KR"/>
        </w:rPr>
        <w:instrText xml:space="preserve"> REF _Ref481668216 \r \h </w:instrText>
      </w:r>
      <w:r w:rsidR="001E4420">
        <w:rPr>
          <w:lang w:eastAsia="ko-KR"/>
        </w:rPr>
        <w:instrText xml:space="preserve"> \* MERGEFORMAT </w:instrText>
      </w:r>
      <w:r w:rsidR="00435899">
        <w:rPr>
          <w:lang w:eastAsia="ko-KR"/>
        </w:rPr>
      </w:r>
      <w:r w:rsidR="00435899">
        <w:rPr>
          <w:lang w:eastAsia="ko-KR"/>
        </w:rPr>
        <w:fldChar w:fldCharType="separate"/>
      </w:r>
      <w:r w:rsidR="00435899">
        <w:rPr>
          <w:lang w:eastAsia="ko-KR"/>
        </w:rPr>
        <w:t>[2]</w:t>
      </w:r>
      <w:r w:rsidR="00435899">
        <w:rPr>
          <w:lang w:eastAsia="ko-KR"/>
        </w:rPr>
        <w:fldChar w:fldCharType="end"/>
      </w:r>
      <w:r w:rsidR="00435899">
        <w:rPr>
          <w:lang w:eastAsia="ko-KR"/>
        </w:rPr>
        <w:t>)</w:t>
      </w:r>
      <w:r w:rsidR="0030456D" w:rsidRPr="0030456D">
        <w:rPr>
          <w:lang w:val="en-US"/>
        </w:rPr>
        <w:t xml:space="preserve"> </w:t>
      </w:r>
      <w:r w:rsidR="00A10A3F">
        <w:rPr>
          <w:lang w:val="en-US"/>
        </w:rPr>
        <w:t xml:space="preserve">includes decoding </w:t>
      </w:r>
      <w:r w:rsidR="00435899">
        <w:rPr>
          <w:lang w:val="en-US"/>
        </w:rPr>
        <w:t>ability (i.e. “</w:t>
      </w:r>
      <w:r w:rsidR="00435899" w:rsidRPr="00A10A3F">
        <w:rPr>
          <w:i/>
          <w:lang w:val="en-US"/>
        </w:rPr>
        <w:t>UE can decode 100 RBs per subframe counting both PSCCH and PSSCH.</w:t>
      </w:r>
      <w:r w:rsidR="00435899">
        <w:rPr>
          <w:lang w:val="en-US"/>
        </w:rPr>
        <w:t>”). We assume that the bands/band combinations</w:t>
      </w:r>
      <w:r w:rsidR="003905BB">
        <w:rPr>
          <w:lang w:val="en-US"/>
        </w:rPr>
        <w:t>,</w:t>
      </w:r>
      <w:r w:rsidR="00435899">
        <w:rPr>
          <w:lang w:val="en-US"/>
        </w:rPr>
        <w:t xml:space="preserve"> where</w:t>
      </w:r>
      <w:r w:rsidR="003905BB">
        <w:rPr>
          <w:lang w:val="en-US"/>
        </w:rPr>
        <w:t>in</w:t>
      </w:r>
      <w:r w:rsidR="00435899">
        <w:rPr>
          <w:lang w:val="en-US"/>
        </w:rPr>
        <w:t xml:space="preserve"> V2X reception is indicated</w:t>
      </w:r>
      <w:r w:rsidR="003905BB">
        <w:rPr>
          <w:lang w:val="en-US"/>
        </w:rPr>
        <w:t>,</w:t>
      </w:r>
      <w:r w:rsidR="00435899">
        <w:rPr>
          <w:lang w:val="en-US"/>
        </w:rPr>
        <w:t xml:space="preserve"> </w:t>
      </w:r>
      <w:r w:rsidR="00435899">
        <w:rPr>
          <w:lang w:val="en-US"/>
        </w:rPr>
        <w:lastRenderedPageBreak/>
        <w:t>also assume</w:t>
      </w:r>
      <w:r w:rsidR="003905BB">
        <w:rPr>
          <w:lang w:val="en-US"/>
        </w:rPr>
        <w:t>/include</w:t>
      </w:r>
      <w:r w:rsidR="00435899">
        <w:rPr>
          <w:lang w:val="en-US"/>
        </w:rPr>
        <w:t xml:space="preserve"> the fu</w:t>
      </w:r>
      <w:r w:rsidR="003905BB">
        <w:rPr>
          <w:lang w:val="en-US"/>
        </w:rPr>
        <w:t>ll Rx capability (i.e. with</w:t>
      </w:r>
      <w:r w:rsidR="00435899">
        <w:rPr>
          <w:lang w:val="en-US"/>
        </w:rPr>
        <w:t xml:space="preserve"> decoding). However, one may think of having a separation which could allow</w:t>
      </w:r>
      <w:r w:rsidR="00435899" w:rsidRPr="00435899">
        <w:rPr>
          <w:lang w:val="en-US"/>
        </w:rPr>
        <w:t xml:space="preserve"> </w:t>
      </w:r>
      <w:r w:rsidR="00435899">
        <w:rPr>
          <w:lang w:val="en-US"/>
        </w:rPr>
        <w:t>to have</w:t>
      </w:r>
      <w:r w:rsidR="00435899" w:rsidRPr="00435899">
        <w:rPr>
          <w:lang w:val="en-US"/>
        </w:rPr>
        <w:t xml:space="preserve"> simple UE</w:t>
      </w:r>
      <w:r w:rsidR="00435899">
        <w:rPr>
          <w:lang w:val="en-US"/>
        </w:rPr>
        <w:t xml:space="preserve">s that can </w:t>
      </w:r>
      <w:r w:rsidR="00435899" w:rsidRPr="00435899">
        <w:rPr>
          <w:lang w:val="en-US"/>
        </w:rPr>
        <w:t>measure and report CBR</w:t>
      </w:r>
      <w:r w:rsidR="00435899">
        <w:rPr>
          <w:lang w:val="en-US"/>
        </w:rPr>
        <w:t xml:space="preserve"> (i.e. “10-8 </w:t>
      </w:r>
      <w:r w:rsidR="00435899" w:rsidRPr="00435899">
        <w:rPr>
          <w:lang w:val="en-US"/>
        </w:rPr>
        <w:t>Sidelink congestion control</w:t>
      </w:r>
      <w:r w:rsidR="00435899">
        <w:rPr>
          <w:lang w:val="en-US"/>
        </w:rPr>
        <w:t>”) but do not support decoding in certain band (i.e. “</w:t>
      </w:r>
      <w:r w:rsidR="00435899">
        <w:rPr>
          <w:lang w:eastAsia="ko-KR"/>
        </w:rPr>
        <w:t xml:space="preserve">10-1 </w:t>
      </w:r>
      <w:r w:rsidR="00435899" w:rsidRPr="00435899">
        <w:rPr>
          <w:lang w:eastAsia="ko-KR"/>
        </w:rPr>
        <w:t>Receiving Sidelink mode 3 and 4"</w:t>
      </w:r>
      <w:r w:rsidR="00435899">
        <w:rPr>
          <w:lang w:val="en-US"/>
        </w:rPr>
        <w:t>)</w:t>
      </w:r>
      <w:r w:rsidR="003905BB">
        <w:rPr>
          <w:lang w:val="en-US"/>
        </w:rPr>
        <w:t>.</w:t>
      </w:r>
      <w:r w:rsidR="00A10A3F">
        <w:rPr>
          <w:lang w:val="en-US"/>
        </w:rPr>
        <w:t xml:space="preserve"> It has not been brought to RAN2 hitherto, but perhaps still can be contemplated.</w:t>
      </w:r>
    </w:p>
    <w:p w14:paraId="524CBD2C" w14:textId="3203FE93" w:rsidR="00435899" w:rsidRPr="00A332C4" w:rsidRDefault="00435899" w:rsidP="00F52F0B">
      <w:pPr>
        <w:pStyle w:val="ListParagraph"/>
        <w:numPr>
          <w:ilvl w:val="0"/>
          <w:numId w:val="8"/>
        </w:numPr>
        <w:rPr>
          <w:b/>
          <w:lang w:val="en-US"/>
        </w:rPr>
      </w:pPr>
      <w:bookmarkStart w:id="3" w:name="_Ref481682843"/>
      <w:r w:rsidRPr="00A332C4">
        <w:rPr>
          <w:b/>
          <w:lang w:val="en-US"/>
        </w:rPr>
        <w:t>RAN2 is kindly asked to consider whether a separation of Rx</w:t>
      </w:r>
      <w:r w:rsidR="003905BB" w:rsidRPr="00A332C4">
        <w:rPr>
          <w:b/>
          <w:lang w:val="en-US"/>
        </w:rPr>
        <w:t xml:space="preserve"> capabilities for V2X is seen</w:t>
      </w:r>
      <w:r w:rsidRPr="00A332C4">
        <w:rPr>
          <w:b/>
          <w:lang w:val="en-US"/>
        </w:rPr>
        <w:t xml:space="preserve"> beneficial</w:t>
      </w:r>
      <w:bookmarkEnd w:id="3"/>
    </w:p>
    <w:p w14:paraId="5D202DE2" w14:textId="28FE15B6" w:rsidR="007C56E6" w:rsidRPr="007C56E6" w:rsidRDefault="007C56E6" w:rsidP="007C56E6">
      <w:pPr>
        <w:pStyle w:val="Heading2"/>
        <w:rPr>
          <w:lang w:val="en-US"/>
        </w:rPr>
      </w:pPr>
      <w:r w:rsidRPr="007C56E6">
        <w:rPr>
          <w:lang w:val="en-US"/>
        </w:rPr>
        <w:t>2.3</w:t>
      </w:r>
      <w:r w:rsidRPr="007C56E6">
        <w:rPr>
          <w:lang w:val="en-US"/>
        </w:rPr>
        <w:tab/>
      </w:r>
      <w:r w:rsidR="0030456D">
        <w:rPr>
          <w:lang w:val="en-US"/>
        </w:rPr>
        <w:t xml:space="preserve">20 ms and 50 ms </w:t>
      </w:r>
      <w:r w:rsidR="003614BB">
        <w:rPr>
          <w:lang w:val="en-US"/>
        </w:rPr>
        <w:t xml:space="preserve">resource </w:t>
      </w:r>
      <w:r w:rsidR="0030456D">
        <w:rPr>
          <w:lang w:val="en-US"/>
        </w:rPr>
        <w:t>reservation period</w:t>
      </w:r>
    </w:p>
    <w:p w14:paraId="3A1B9A20" w14:textId="30B16F02" w:rsidR="008B3E63" w:rsidRDefault="003905BB" w:rsidP="00ED6511">
      <w:pPr>
        <w:jc w:val="both"/>
        <w:rPr>
          <w:lang w:val="en-US"/>
        </w:rPr>
      </w:pPr>
      <w:r>
        <w:rPr>
          <w:lang w:val="en-US"/>
        </w:rPr>
        <w:t xml:space="preserve">Throughout the </w:t>
      </w:r>
      <w:r w:rsidR="008B3E63">
        <w:rPr>
          <w:lang w:val="en-US"/>
        </w:rPr>
        <w:t>“[</w:t>
      </w:r>
      <w:r w:rsidR="008B3E63" w:rsidRPr="008B3E63">
        <w:rPr>
          <w:lang w:val="en-US"/>
        </w:rPr>
        <w:t>97bis#</w:t>
      </w:r>
      <w:r w:rsidR="00ED6511">
        <w:rPr>
          <w:lang w:val="en-US"/>
        </w:rPr>
        <w:t>17]</w:t>
      </w:r>
      <w:r w:rsidR="00ED6511" w:rsidRPr="008B3E63">
        <w:rPr>
          <w:lang w:val="en-US"/>
        </w:rPr>
        <w:t>[</w:t>
      </w:r>
      <w:r w:rsidR="008B3E63" w:rsidRPr="008B3E63">
        <w:rPr>
          <w:lang w:val="en-US"/>
        </w:rPr>
        <w:t>LTE/V2X] – V2X UE capabilities</w:t>
      </w:r>
      <w:r w:rsidR="008B3E63">
        <w:rPr>
          <w:lang w:val="en-US"/>
        </w:rPr>
        <w:t>”</w:t>
      </w:r>
      <w:r w:rsidR="008B3E63" w:rsidRPr="008B3E63">
        <w:rPr>
          <w:lang w:val="en-US"/>
        </w:rPr>
        <w:t xml:space="preserve"> </w:t>
      </w:r>
      <w:r>
        <w:rPr>
          <w:lang w:val="en-US"/>
        </w:rPr>
        <w:t>e-mail discussion several companies</w:t>
      </w:r>
      <w:r w:rsidR="001E4420">
        <w:rPr>
          <w:lang w:val="en-US"/>
        </w:rPr>
        <w:t xml:space="preserve"> (again – including Nokia</w:t>
      </w:r>
      <w:r w:rsidR="008B3E63">
        <w:rPr>
          <w:lang w:val="en-US"/>
        </w:rPr>
        <w:t xml:space="preserve"> and Alcatel Lucent</w:t>
      </w:r>
      <w:r w:rsidR="001E4420">
        <w:rPr>
          <w:lang w:val="en-US"/>
        </w:rPr>
        <w:t>)</w:t>
      </w:r>
      <w:r>
        <w:rPr>
          <w:lang w:val="en-US"/>
        </w:rPr>
        <w:t xml:space="preserve"> wondered whether 20</w:t>
      </w:r>
      <w:r w:rsidR="00FE20AC">
        <w:rPr>
          <w:lang w:val="en-US"/>
        </w:rPr>
        <w:t xml:space="preserve"> ms</w:t>
      </w:r>
      <w:r>
        <w:rPr>
          <w:lang w:val="en-US"/>
        </w:rPr>
        <w:t xml:space="preserve"> and 50 ms reservation period</w:t>
      </w:r>
      <w:r w:rsidR="008B3E63">
        <w:rPr>
          <w:lang w:val="en-US"/>
        </w:rPr>
        <w:t xml:space="preserve"> capability</w:t>
      </w:r>
      <w:r>
        <w:rPr>
          <w:lang w:val="en-US"/>
        </w:rPr>
        <w:t xml:space="preserve"> should be handled somehow separately.</w:t>
      </w:r>
      <w:r w:rsidR="00ED6511">
        <w:rPr>
          <w:lang w:val="en-US"/>
        </w:rPr>
        <w:t xml:space="preserve"> Nevertheless, after additional considerations, we have realized that from</w:t>
      </w:r>
      <w:r w:rsidR="00ED6511" w:rsidRPr="00ED6511">
        <w:rPr>
          <w:lang w:val="en-US"/>
        </w:rPr>
        <w:t xml:space="preserve"> the receiver</w:t>
      </w:r>
      <w:r w:rsidR="00ED6511">
        <w:rPr>
          <w:lang w:val="en-US"/>
        </w:rPr>
        <w:t>’s point of view, it should not really make large difference. For Mode 3 the r</w:t>
      </w:r>
      <w:r w:rsidR="00ED6511" w:rsidRPr="00ED6511">
        <w:rPr>
          <w:lang w:val="en-US"/>
        </w:rPr>
        <w:t xml:space="preserve">esource reservation interval is not even signaled in the </w:t>
      </w:r>
      <w:r w:rsidR="00ED6511">
        <w:rPr>
          <w:lang w:val="en-US"/>
        </w:rPr>
        <w:t>Scheduling Assignment (</w:t>
      </w:r>
      <w:r w:rsidR="00ED6511" w:rsidRPr="00ED6511">
        <w:rPr>
          <w:lang w:val="en-US"/>
        </w:rPr>
        <w:t>SA</w:t>
      </w:r>
      <w:r w:rsidR="00ED6511">
        <w:rPr>
          <w:lang w:val="en-US"/>
        </w:rPr>
        <w:t>). For M</w:t>
      </w:r>
      <w:r w:rsidR="00ED6511" w:rsidRPr="00ED6511">
        <w:rPr>
          <w:lang w:val="en-US"/>
        </w:rPr>
        <w:t>ode</w:t>
      </w:r>
      <w:r w:rsidR="00785D1A">
        <w:rPr>
          <w:lang w:val="en-US"/>
        </w:rPr>
        <w:t xml:space="preserve"> 4, the UE is just expected</w:t>
      </w:r>
      <w:r w:rsidR="00ED6511" w:rsidRPr="00ED6511">
        <w:rPr>
          <w:lang w:val="en-US"/>
        </w:rPr>
        <w:t xml:space="preserve"> to decode the new values for resour</w:t>
      </w:r>
      <w:r w:rsidR="00ED6511">
        <w:rPr>
          <w:lang w:val="en-US"/>
        </w:rPr>
        <w:t>ce reservation and apply them appropriately for the purpose of</w:t>
      </w:r>
      <w:r w:rsidR="00ED6511" w:rsidRPr="00ED6511">
        <w:rPr>
          <w:lang w:val="en-US"/>
        </w:rPr>
        <w:t xml:space="preserve"> sensing</w:t>
      </w:r>
      <w:r w:rsidR="00ED6511">
        <w:rPr>
          <w:lang w:val="en-US"/>
        </w:rPr>
        <w:t xml:space="preserve">. </w:t>
      </w:r>
      <w:r w:rsidR="00785D1A">
        <w:rPr>
          <w:lang w:val="en-US"/>
        </w:rPr>
        <w:t>It appears that e</w:t>
      </w:r>
      <w:r w:rsidR="008B3E63">
        <w:rPr>
          <w:lang w:val="en-US"/>
        </w:rPr>
        <w:t xml:space="preserve">ven </w:t>
      </w:r>
      <w:r w:rsidR="00785D1A">
        <w:rPr>
          <w:lang w:val="en-US"/>
        </w:rPr>
        <w:t xml:space="preserve">the </w:t>
      </w:r>
      <w:r w:rsidR="008B3E63">
        <w:rPr>
          <w:lang w:val="en-US"/>
        </w:rPr>
        <w:t>UE vendors (su</w:t>
      </w:r>
      <w:r w:rsidR="003614BB">
        <w:rPr>
          <w:lang w:val="en-US"/>
        </w:rPr>
        <w:t>ch as LG or Qualcomm) do not regard</w:t>
      </w:r>
      <w:r w:rsidR="008B3E63">
        <w:rPr>
          <w:lang w:val="en-US"/>
        </w:rPr>
        <w:t xml:space="preserve"> this as a big issue</w:t>
      </w:r>
      <w:r w:rsidR="00785D1A">
        <w:rPr>
          <w:lang w:val="en-US"/>
        </w:rPr>
        <w:t xml:space="preserve"> and do not insist on extracting/separating this capability. Thus, </w:t>
      </w:r>
      <w:r w:rsidR="008B3E63">
        <w:rPr>
          <w:lang w:val="en-US"/>
        </w:rPr>
        <w:t xml:space="preserve">we are also eager to </w:t>
      </w:r>
      <w:r w:rsidR="00FE20AC">
        <w:rPr>
          <w:lang w:val="en-US"/>
        </w:rPr>
        <w:t>embed</w:t>
      </w:r>
      <w:r w:rsidR="008B3E63">
        <w:rPr>
          <w:lang w:val="en-US"/>
        </w:rPr>
        <w:t xml:space="preserve"> 20/50 ms reservation period </w:t>
      </w:r>
      <w:r w:rsidR="00FE20AC">
        <w:rPr>
          <w:lang w:val="en-US"/>
        </w:rPr>
        <w:t xml:space="preserve">by default </w:t>
      </w:r>
      <w:r w:rsidR="008B3E63">
        <w:rPr>
          <w:lang w:val="en-US"/>
        </w:rPr>
        <w:t xml:space="preserve">in the </w:t>
      </w:r>
      <w:r w:rsidR="00785D1A">
        <w:rPr>
          <w:lang w:val="en-US"/>
        </w:rPr>
        <w:t>overall Rx capability.</w:t>
      </w:r>
    </w:p>
    <w:p w14:paraId="5BDE40E7" w14:textId="5E6CB331" w:rsidR="0030456D" w:rsidRPr="00A332C4" w:rsidRDefault="008B3E63" w:rsidP="00F52F0B">
      <w:pPr>
        <w:pStyle w:val="ListParagraph"/>
        <w:numPr>
          <w:ilvl w:val="0"/>
          <w:numId w:val="8"/>
        </w:numPr>
        <w:rPr>
          <w:b/>
          <w:lang w:val="en-US"/>
        </w:rPr>
      </w:pPr>
      <w:bookmarkStart w:id="4" w:name="_Ref481682858"/>
      <w:r w:rsidRPr="00A332C4">
        <w:rPr>
          <w:b/>
          <w:lang w:val="en-US"/>
        </w:rPr>
        <w:t>RAN2 is kindly asked not to introduce a separate capability for the reception of PSCCH/PSSCH when 20/50 ms reservation period is used.</w:t>
      </w:r>
      <w:bookmarkEnd w:id="4"/>
    </w:p>
    <w:p w14:paraId="786CB79B" w14:textId="2EE343D9" w:rsidR="0030456D" w:rsidRPr="007C56E6" w:rsidRDefault="0030456D" w:rsidP="0030456D">
      <w:pPr>
        <w:pStyle w:val="Heading2"/>
        <w:rPr>
          <w:lang w:val="en-US"/>
        </w:rPr>
      </w:pPr>
      <w:r w:rsidRPr="007C56E6">
        <w:rPr>
          <w:lang w:val="en-US"/>
        </w:rPr>
        <w:t>2</w:t>
      </w:r>
      <w:r>
        <w:rPr>
          <w:lang w:val="en-US"/>
        </w:rPr>
        <w:t>.4</w:t>
      </w:r>
      <w:r w:rsidRPr="007C56E6">
        <w:rPr>
          <w:lang w:val="en-US"/>
        </w:rPr>
        <w:tab/>
      </w:r>
      <w:r w:rsidR="00AD42A0">
        <w:rPr>
          <w:lang w:val="en-US"/>
        </w:rPr>
        <w:t>Intentional mismatch: “p</w:t>
      </w:r>
      <w:r w:rsidRPr="007C56E6">
        <w:rPr>
          <w:lang w:val="en-US"/>
        </w:rPr>
        <w:t>er UE</w:t>
      </w:r>
      <w:r w:rsidR="00AD42A0">
        <w:rPr>
          <w:lang w:val="en-US"/>
        </w:rPr>
        <w:t>” combined with</w:t>
      </w:r>
      <w:r w:rsidRPr="007C56E6">
        <w:rPr>
          <w:lang w:val="en-US"/>
        </w:rPr>
        <w:t xml:space="preserve"> </w:t>
      </w:r>
      <w:r w:rsidR="00AD42A0">
        <w:rPr>
          <w:lang w:val="en-US"/>
        </w:rPr>
        <w:t>“</w:t>
      </w:r>
      <w:r w:rsidRPr="007C56E6">
        <w:rPr>
          <w:lang w:val="en-US"/>
        </w:rPr>
        <w:t>per band</w:t>
      </w:r>
      <w:r w:rsidR="00AD42A0">
        <w:rPr>
          <w:lang w:val="en-US"/>
        </w:rPr>
        <w:t>”</w:t>
      </w:r>
      <w:r w:rsidRPr="007C56E6">
        <w:rPr>
          <w:lang w:val="en-US"/>
        </w:rPr>
        <w:t>?</w:t>
      </w:r>
    </w:p>
    <w:p w14:paraId="368D20FA" w14:textId="4B47370F" w:rsidR="007C56E6" w:rsidRDefault="00AD42A0" w:rsidP="002A4FC6">
      <w:pPr>
        <w:jc w:val="both"/>
        <w:rPr>
          <w:lang w:val="en-US"/>
        </w:rPr>
      </w:pPr>
      <w:r w:rsidRPr="00AD42A0">
        <w:rPr>
          <w:lang w:val="en-US"/>
        </w:rPr>
        <w:t>During the e-mail discussion</w:t>
      </w:r>
      <w:r w:rsidR="000C4B9B">
        <w:rPr>
          <w:lang w:val="en-US"/>
        </w:rPr>
        <w:t>,</w:t>
      </w:r>
      <w:r w:rsidRPr="00AD42A0">
        <w:rPr>
          <w:lang w:val="en-US"/>
        </w:rPr>
        <w:t xml:space="preserve"> referred to </w:t>
      </w:r>
      <w:r w:rsidR="007E77B4">
        <w:rPr>
          <w:lang w:val="en-US"/>
        </w:rPr>
        <w:t xml:space="preserve">already </w:t>
      </w:r>
      <w:r w:rsidRPr="00AD42A0">
        <w:rPr>
          <w:lang w:val="en-US"/>
        </w:rPr>
        <w:t xml:space="preserve">multiple </w:t>
      </w:r>
      <w:r>
        <w:rPr>
          <w:lang w:val="en-US"/>
        </w:rPr>
        <w:t>t</w:t>
      </w:r>
      <w:r w:rsidRPr="00AD42A0">
        <w:rPr>
          <w:lang w:val="en-US"/>
        </w:rPr>
        <w:t xml:space="preserve">imes </w:t>
      </w:r>
      <w:r w:rsidR="00B55674">
        <w:rPr>
          <w:lang w:val="en-US"/>
        </w:rPr>
        <w:t>within the paper</w:t>
      </w:r>
      <w:r>
        <w:rPr>
          <w:lang w:val="en-US"/>
        </w:rPr>
        <w:t>, there were companies</w:t>
      </w:r>
      <w:r w:rsidR="00B55674">
        <w:rPr>
          <w:lang w:val="en-US"/>
        </w:rPr>
        <w:t xml:space="preserve"> (again – including </w:t>
      </w:r>
      <w:r w:rsidR="000C4B9B">
        <w:rPr>
          <w:lang w:val="en-US"/>
        </w:rPr>
        <w:t>Nokia as well as</w:t>
      </w:r>
      <w:r w:rsidR="00B55674">
        <w:rPr>
          <w:lang w:val="en-US"/>
        </w:rPr>
        <w:t xml:space="preserve"> Alcatel-Lucent!)</w:t>
      </w:r>
      <w:r>
        <w:rPr>
          <w:lang w:val="en-US"/>
        </w:rPr>
        <w:t xml:space="preserve"> </w:t>
      </w:r>
      <w:r w:rsidR="00B55674">
        <w:rPr>
          <w:lang w:val="en-US"/>
        </w:rPr>
        <w:t>pointing out possible</w:t>
      </w:r>
      <w:r w:rsidR="00B55674">
        <w:rPr>
          <w:lang w:eastAsia="ko-KR"/>
        </w:rPr>
        <w:t xml:space="preserve"> inconsistency between “Receiving sidelink mode 3 and 4” and “Tx with full/partial sensing”. </w:t>
      </w:r>
      <w:r w:rsidR="00B55674" w:rsidRPr="00B55674">
        <w:rPr>
          <w:lang w:eastAsia="ko-KR"/>
        </w:rPr>
        <w:t>The former is per band, the lat</w:t>
      </w:r>
      <w:r w:rsidR="007E77B4">
        <w:rPr>
          <w:lang w:eastAsia="ko-KR"/>
        </w:rPr>
        <w:t>t</w:t>
      </w:r>
      <w:r w:rsidR="00B55674" w:rsidRPr="00B55674">
        <w:rPr>
          <w:lang w:eastAsia="ko-KR"/>
        </w:rPr>
        <w:t>er per UE</w:t>
      </w:r>
      <w:r w:rsidR="00B55674">
        <w:rPr>
          <w:lang w:eastAsia="ko-KR"/>
        </w:rPr>
        <w:t xml:space="preserve">. In addition, those are </w:t>
      </w:r>
      <w:r w:rsidR="000C4B9B">
        <w:rPr>
          <w:lang w:eastAsia="ko-KR"/>
        </w:rPr>
        <w:t xml:space="preserve">mutually linked as </w:t>
      </w:r>
      <w:r w:rsidR="007E77B4">
        <w:rPr>
          <w:lang w:eastAsia="ko-KR"/>
        </w:rPr>
        <w:t>“</w:t>
      </w:r>
      <w:r w:rsidR="000C4B9B">
        <w:rPr>
          <w:lang w:eastAsia="ko-KR"/>
        </w:rPr>
        <w:t>Rx capability</w:t>
      </w:r>
      <w:r w:rsidR="007E77B4">
        <w:rPr>
          <w:lang w:eastAsia="ko-KR"/>
        </w:rPr>
        <w:t>”</w:t>
      </w:r>
      <w:r w:rsidR="000C4B9B">
        <w:rPr>
          <w:lang w:eastAsia="ko-KR"/>
        </w:rPr>
        <w:t xml:space="preserve"> is a prerequisite for </w:t>
      </w:r>
      <w:r w:rsidR="007E77B4">
        <w:rPr>
          <w:lang w:eastAsia="ko-KR"/>
        </w:rPr>
        <w:t>“</w:t>
      </w:r>
      <w:r w:rsidR="000C4B9B">
        <w:rPr>
          <w:lang w:eastAsia="ko-KR"/>
        </w:rPr>
        <w:t>Tx with sensing</w:t>
      </w:r>
      <w:r w:rsidR="007E77B4">
        <w:rPr>
          <w:lang w:eastAsia="ko-KR"/>
        </w:rPr>
        <w:t>”</w:t>
      </w:r>
      <w:r w:rsidR="000C4B9B">
        <w:rPr>
          <w:lang w:eastAsia="ko-KR"/>
        </w:rPr>
        <w:t>. At first glance it may look as if it was an unintended and illogical misalignment.</w:t>
      </w:r>
      <w:r w:rsidR="00B55674">
        <w:rPr>
          <w:lang w:eastAsia="ko-KR"/>
        </w:rPr>
        <w:t xml:space="preserve"> </w:t>
      </w:r>
      <w:r w:rsidR="003614BB">
        <w:rPr>
          <w:lang w:val="en-US"/>
        </w:rPr>
        <w:t xml:space="preserve">However, </w:t>
      </w:r>
      <w:r w:rsidR="007E77B4">
        <w:rPr>
          <w:lang w:val="en-US"/>
        </w:rPr>
        <w:t>it</w:t>
      </w:r>
      <w:r w:rsidR="003614BB">
        <w:rPr>
          <w:lang w:val="en-US"/>
        </w:rPr>
        <w:t xml:space="preserve"> can be simply interpreted in the following way: if the UE supports SL reception</w:t>
      </w:r>
      <w:r w:rsidR="007E77B4">
        <w:rPr>
          <w:lang w:val="en-US"/>
        </w:rPr>
        <w:t xml:space="preserve"> in the</w:t>
      </w:r>
      <w:r w:rsidR="003614BB" w:rsidRPr="003614BB">
        <w:rPr>
          <w:lang w:val="en-US"/>
        </w:rPr>
        <w:t xml:space="preserve"> certain </w:t>
      </w:r>
      <w:r w:rsidR="003614BB">
        <w:rPr>
          <w:lang w:val="en-US"/>
        </w:rPr>
        <w:t>band/</w:t>
      </w:r>
      <w:r w:rsidR="003614BB" w:rsidRPr="003614BB">
        <w:rPr>
          <w:lang w:val="en-US"/>
        </w:rPr>
        <w:t>set of bands and</w:t>
      </w:r>
      <w:r w:rsidR="003614BB">
        <w:rPr>
          <w:lang w:val="en-US"/>
        </w:rPr>
        <w:t xml:space="preserve"> simultaneously it supports Tx</w:t>
      </w:r>
      <w:r w:rsidR="003614BB" w:rsidRPr="003614BB">
        <w:rPr>
          <w:lang w:val="en-US"/>
        </w:rPr>
        <w:t xml:space="preserve"> with sensing</w:t>
      </w:r>
      <w:r w:rsidR="003614BB">
        <w:rPr>
          <w:lang w:val="en-US"/>
        </w:rPr>
        <w:t xml:space="preserve"> (which is non-band specific) it means the UE is capable of</w:t>
      </w:r>
      <w:r w:rsidR="003614BB" w:rsidRPr="003614BB">
        <w:rPr>
          <w:lang w:val="en-US"/>
        </w:rPr>
        <w:t xml:space="preserve"> TX with sensing in the same </w:t>
      </w:r>
      <w:r w:rsidR="003614BB">
        <w:rPr>
          <w:lang w:val="en-US"/>
        </w:rPr>
        <w:t>band/set of bands.</w:t>
      </w:r>
      <w:r w:rsidR="00643DD6">
        <w:rPr>
          <w:lang w:val="en-US"/>
        </w:rPr>
        <w:t xml:space="preserve"> The additional flexibility which would allow to signal the UE su</w:t>
      </w:r>
      <w:r w:rsidR="007E77B4">
        <w:rPr>
          <w:lang w:val="en-US"/>
        </w:rPr>
        <w:t xml:space="preserve">pports reception and sensing in, e.g. </w:t>
      </w:r>
      <w:r w:rsidR="00643DD6">
        <w:rPr>
          <w:lang w:val="en-US"/>
        </w:rPr>
        <w:t>band A, but is not capable of transmitting in the same band</w:t>
      </w:r>
      <w:r w:rsidR="00C33CF3">
        <w:rPr>
          <w:lang w:val="en-US"/>
        </w:rPr>
        <w:t>, appears not to be necessary, at least from our point of view</w:t>
      </w:r>
      <w:r w:rsidR="00643DD6">
        <w:rPr>
          <w:lang w:val="en-US"/>
        </w:rPr>
        <w:t>. As a result:</w:t>
      </w:r>
    </w:p>
    <w:p w14:paraId="38A2EB0D" w14:textId="08CECA71" w:rsidR="007C56E6" w:rsidRPr="00A332C4" w:rsidRDefault="00643DD6" w:rsidP="007C56E6">
      <w:pPr>
        <w:pStyle w:val="ListParagraph"/>
        <w:numPr>
          <w:ilvl w:val="0"/>
          <w:numId w:val="7"/>
        </w:numPr>
        <w:rPr>
          <w:b/>
          <w:lang w:val="en-US"/>
        </w:rPr>
      </w:pPr>
      <w:bookmarkStart w:id="5" w:name="_Ref481682878"/>
      <w:r w:rsidRPr="00A332C4">
        <w:rPr>
          <w:b/>
          <w:lang w:val="en-US"/>
        </w:rPr>
        <w:t>It is acceptable to keep the Rx capability per band while Tx with sensing as a per UE capability.</w:t>
      </w:r>
      <w:bookmarkEnd w:id="5"/>
      <w:r w:rsidRPr="00A332C4">
        <w:rPr>
          <w:b/>
          <w:lang w:val="en-US"/>
        </w:rPr>
        <w:t xml:space="preserve"> </w:t>
      </w:r>
    </w:p>
    <w:p w14:paraId="43A12B72" w14:textId="717F64EB" w:rsidR="00CD4C7B" w:rsidRPr="000C4B9B" w:rsidRDefault="00123898" w:rsidP="00CD4C7B">
      <w:pPr>
        <w:pStyle w:val="Heading1"/>
        <w:rPr>
          <w:lang w:val="en-US"/>
        </w:rPr>
      </w:pPr>
      <w:r w:rsidRPr="000C4B9B">
        <w:rPr>
          <w:lang w:val="en-US"/>
        </w:rPr>
        <w:t>3</w:t>
      </w:r>
      <w:r w:rsidR="00CD4C7B" w:rsidRPr="000C4B9B">
        <w:rPr>
          <w:lang w:val="en-US"/>
        </w:rPr>
        <w:tab/>
      </w:r>
      <w:r w:rsidRPr="000C4B9B">
        <w:rPr>
          <w:lang w:val="en-US"/>
        </w:rPr>
        <w:t>Conclusion</w:t>
      </w:r>
    </w:p>
    <w:p w14:paraId="190C81D1" w14:textId="464CD288" w:rsidR="00CD4C7B" w:rsidRDefault="002A4FC6" w:rsidP="00C33CF3">
      <w:pPr>
        <w:jc w:val="both"/>
        <w:rPr>
          <w:lang w:val="en-US"/>
        </w:rPr>
      </w:pPr>
      <w:r w:rsidRPr="002A4FC6">
        <w:rPr>
          <w:lang w:val="en-US"/>
        </w:rPr>
        <w:t>This paper outlined the aspects which sparked the most heated discussion</w:t>
      </w:r>
      <w:r w:rsidR="007E77B4">
        <w:rPr>
          <w:lang w:val="en-US"/>
        </w:rPr>
        <w:t>s</w:t>
      </w:r>
      <w:r w:rsidRPr="002A4FC6">
        <w:rPr>
          <w:lang w:val="en-US"/>
        </w:rPr>
        <w:t xml:space="preserve"> during the</w:t>
      </w:r>
      <w:r>
        <w:rPr>
          <w:lang w:val="en-US"/>
        </w:rPr>
        <w:t xml:space="preserve"> “</w:t>
      </w:r>
      <w:r w:rsidRPr="00C33CF3">
        <w:rPr>
          <w:i/>
          <w:lang w:val="en-US"/>
        </w:rPr>
        <w:t>[97bis#17][LTE/V2X] – V2X UE capabilities</w:t>
      </w:r>
      <w:r>
        <w:rPr>
          <w:lang w:val="en-US"/>
        </w:rPr>
        <w:t>” RAN2 official e-mail discussion.</w:t>
      </w:r>
      <w:r w:rsidR="00C33CF3">
        <w:rPr>
          <w:lang w:val="en-US"/>
        </w:rPr>
        <w:t xml:space="preserve"> </w:t>
      </w:r>
      <w:r w:rsidR="00C33CF3" w:rsidRPr="00C33CF3">
        <w:rPr>
          <w:lang w:val="en-US"/>
        </w:rPr>
        <w:t>In the course of the paper</w:t>
      </w:r>
      <w:r w:rsidR="007E77B4">
        <w:rPr>
          <w:lang w:val="en-US"/>
        </w:rPr>
        <w:t xml:space="preserve"> the following </w:t>
      </w:r>
      <w:r w:rsidR="00C33CF3" w:rsidRPr="00C33CF3">
        <w:rPr>
          <w:lang w:val="en-US"/>
        </w:rPr>
        <w:t>Proposals</w:t>
      </w:r>
      <w:r w:rsidR="007E77B4">
        <w:rPr>
          <w:lang w:val="en-US"/>
        </w:rPr>
        <w:t xml:space="preserve"> and Observations</w:t>
      </w:r>
      <w:r w:rsidR="00C33CF3" w:rsidRPr="00C33CF3">
        <w:rPr>
          <w:lang w:val="en-US"/>
        </w:rPr>
        <w:t xml:space="preserve"> have been made:</w:t>
      </w:r>
      <w:r w:rsidRPr="00C33CF3">
        <w:rPr>
          <w:lang w:val="en-US"/>
        </w:rPr>
        <w:t xml:space="preserve"> </w:t>
      </w:r>
    </w:p>
    <w:p w14:paraId="306830BC" w14:textId="12B9A5A2" w:rsidR="00C33CF3" w:rsidRPr="00DD65A0" w:rsidRDefault="00DD65A0" w:rsidP="00CD4C7B">
      <w:pPr>
        <w:rPr>
          <w:b/>
          <w:lang w:val="en-US"/>
        </w:rPr>
      </w:pPr>
      <w:r>
        <w:rPr>
          <w:b/>
          <w:lang w:val="en-US"/>
        </w:rPr>
        <w:fldChar w:fldCharType="begin"/>
      </w:r>
      <w:r w:rsidRPr="00DD65A0">
        <w:rPr>
          <w:b/>
          <w:lang w:val="en-US"/>
        </w:rPr>
        <w:instrText xml:space="preserve"> REF _Ref481682808 \n \h </w:instrText>
      </w:r>
      <w:r>
        <w:rPr>
          <w:b/>
          <w:lang w:val="en-US"/>
        </w:rPr>
        <w:instrText xml:space="preserve"> \* MERGEFORMAT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DD65A0">
        <w:rPr>
          <w:b/>
          <w:lang w:val="en-US"/>
        </w:rPr>
        <w:t>Proposal</w:t>
      </w:r>
      <w:r>
        <w:rPr>
          <w:lang w:val="en-US"/>
        </w:rPr>
        <w:t xml:space="preserve"> 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Pr="00DD65A0">
        <w:rPr>
          <w:b/>
          <w:lang w:val="en-US"/>
        </w:rPr>
        <w:fldChar w:fldCharType="begin"/>
      </w:r>
      <w:r w:rsidRPr="00DD65A0">
        <w:rPr>
          <w:b/>
          <w:lang w:val="en-US"/>
        </w:rPr>
        <w:instrText xml:space="preserve"> REF _Ref481682808 \h  \* MERGEFORMAT </w:instrText>
      </w:r>
      <w:r w:rsidRPr="00DD65A0">
        <w:rPr>
          <w:b/>
          <w:lang w:val="en-US"/>
        </w:rPr>
      </w:r>
      <w:r w:rsidRPr="00DD65A0">
        <w:rPr>
          <w:b/>
          <w:lang w:val="en-US"/>
        </w:rPr>
        <w:fldChar w:fldCharType="separate"/>
      </w:r>
      <w:r w:rsidRPr="00DD65A0">
        <w:rPr>
          <w:b/>
          <w:lang w:val="en-US"/>
        </w:rPr>
        <w:t xml:space="preserve">Introduce </w:t>
      </w:r>
      <w:r w:rsidRPr="00DD65A0">
        <w:rPr>
          <w:b/>
          <w:i/>
        </w:rPr>
        <w:t>v2x-Supported</w:t>
      </w:r>
      <w:r w:rsidRPr="00DD65A0">
        <w:rPr>
          <w:rFonts w:eastAsia="SimSun" w:hint="eastAsia"/>
          <w:b/>
          <w:i/>
          <w:lang w:eastAsia="zh-CN"/>
        </w:rPr>
        <w:t>Tx</w:t>
      </w:r>
      <w:r w:rsidRPr="00DD65A0">
        <w:rPr>
          <w:b/>
          <w:i/>
        </w:rPr>
        <w:t>BandCombinationList</w:t>
      </w:r>
      <w:r w:rsidRPr="00DD65A0">
        <w:rPr>
          <w:rFonts w:eastAsia="SimSun" w:hint="eastAsia"/>
          <w:b/>
          <w:i/>
          <w:lang w:eastAsia="zh-CN"/>
        </w:rPr>
        <w:t>-r14</w:t>
      </w:r>
      <w:r w:rsidRPr="00DD65A0">
        <w:rPr>
          <w:rFonts w:eastAsia="SimSun"/>
          <w:b/>
          <w:lang w:eastAsia="zh-CN"/>
        </w:rPr>
        <w:t xml:space="preserve"> and </w:t>
      </w:r>
      <w:r w:rsidRPr="00DD65A0">
        <w:rPr>
          <w:b/>
          <w:i/>
        </w:rPr>
        <w:t>v2x-Supported</w:t>
      </w:r>
      <w:r w:rsidRPr="00DD65A0">
        <w:rPr>
          <w:rFonts w:eastAsia="SimSun" w:hint="eastAsia"/>
          <w:b/>
          <w:i/>
          <w:lang w:eastAsia="zh-CN"/>
        </w:rPr>
        <w:t>Rx</w:t>
      </w:r>
      <w:r w:rsidRPr="00DD65A0">
        <w:rPr>
          <w:b/>
          <w:i/>
        </w:rPr>
        <w:t>BandCombinationList</w:t>
      </w:r>
      <w:r w:rsidRPr="00DD65A0">
        <w:rPr>
          <w:rFonts w:eastAsia="SimSun" w:hint="eastAsia"/>
          <w:b/>
          <w:i/>
          <w:lang w:eastAsia="zh-CN"/>
        </w:rPr>
        <w:t>-r14</w:t>
      </w:r>
      <w:r w:rsidRPr="00DD65A0">
        <w:rPr>
          <w:rFonts w:eastAsia="SimSun"/>
          <w:b/>
          <w:lang w:eastAsia="zh-CN"/>
        </w:rPr>
        <w:t>, separating transmission and reception band combination capabilities for V2X (i.e. Option 2).</w:t>
      </w:r>
      <w:r w:rsidRPr="00DD65A0">
        <w:rPr>
          <w:b/>
          <w:lang w:val="en-US"/>
        </w:rPr>
        <w:fldChar w:fldCharType="end"/>
      </w:r>
    </w:p>
    <w:p w14:paraId="596F946B" w14:textId="12D9494B" w:rsidR="00DD65A0" w:rsidRPr="00DD65A0" w:rsidRDefault="00DD65A0" w:rsidP="00CD4C7B">
      <w:pPr>
        <w:rPr>
          <w:b/>
          <w:lang w:val="en-US"/>
        </w:rPr>
      </w:pPr>
      <w:r w:rsidRPr="00DD65A0">
        <w:rPr>
          <w:b/>
          <w:lang w:val="en-US"/>
        </w:rPr>
        <w:fldChar w:fldCharType="begin"/>
      </w:r>
      <w:r w:rsidRPr="00DD65A0">
        <w:rPr>
          <w:b/>
          <w:lang w:val="en-US"/>
        </w:rPr>
        <w:instrText xml:space="preserve"> REF _Ref481682843 \n \h  \* MERGEFORMAT </w:instrText>
      </w:r>
      <w:r w:rsidRPr="00DD65A0">
        <w:rPr>
          <w:b/>
          <w:lang w:val="en-US"/>
        </w:rPr>
      </w:r>
      <w:r w:rsidRPr="00DD65A0">
        <w:rPr>
          <w:b/>
          <w:lang w:val="en-US"/>
        </w:rPr>
        <w:fldChar w:fldCharType="separate"/>
      </w:r>
      <w:r w:rsidRPr="00DD65A0">
        <w:rPr>
          <w:b/>
          <w:lang w:val="en-US"/>
        </w:rPr>
        <w:t>Proposal 2:</w:t>
      </w:r>
      <w:r w:rsidRPr="00DD65A0">
        <w:rPr>
          <w:b/>
          <w:lang w:val="en-US"/>
        </w:rPr>
        <w:fldChar w:fldCharType="end"/>
      </w:r>
      <w:r w:rsidRPr="00DD65A0">
        <w:rPr>
          <w:b/>
          <w:lang w:val="en-US"/>
        </w:rPr>
        <w:t xml:space="preserve"> </w:t>
      </w:r>
      <w:r w:rsidRPr="00DD65A0">
        <w:rPr>
          <w:b/>
          <w:lang w:val="en-US"/>
        </w:rPr>
        <w:fldChar w:fldCharType="begin"/>
      </w:r>
      <w:r w:rsidRPr="00DD65A0">
        <w:rPr>
          <w:b/>
          <w:lang w:val="en-US"/>
        </w:rPr>
        <w:instrText xml:space="preserve"> REF _Ref481682843 \h  \* MERGEFORMAT </w:instrText>
      </w:r>
      <w:r w:rsidRPr="00DD65A0">
        <w:rPr>
          <w:b/>
          <w:lang w:val="en-US"/>
        </w:rPr>
      </w:r>
      <w:r w:rsidRPr="00DD65A0">
        <w:rPr>
          <w:b/>
          <w:lang w:val="en-US"/>
        </w:rPr>
        <w:fldChar w:fldCharType="separate"/>
      </w:r>
      <w:r w:rsidRPr="00DD65A0">
        <w:rPr>
          <w:b/>
          <w:lang w:val="en-US"/>
        </w:rPr>
        <w:t>RAN2 is kindly asked to consider whether a separation of Rx capabilities for V2X is seen beneficial</w:t>
      </w:r>
      <w:r w:rsidRPr="00DD65A0">
        <w:rPr>
          <w:b/>
          <w:lang w:val="en-US"/>
        </w:rPr>
        <w:fldChar w:fldCharType="end"/>
      </w:r>
    </w:p>
    <w:p w14:paraId="035B84DF" w14:textId="310AF416" w:rsidR="00DD65A0" w:rsidRPr="00DD65A0" w:rsidRDefault="00DD65A0" w:rsidP="00CD4C7B">
      <w:pPr>
        <w:rPr>
          <w:b/>
          <w:lang w:val="en-US"/>
        </w:rPr>
      </w:pPr>
      <w:r w:rsidRPr="00DD65A0">
        <w:rPr>
          <w:b/>
          <w:lang w:val="en-US"/>
        </w:rPr>
        <w:fldChar w:fldCharType="begin"/>
      </w:r>
      <w:r w:rsidRPr="00DD65A0">
        <w:rPr>
          <w:b/>
          <w:lang w:val="en-US"/>
        </w:rPr>
        <w:instrText xml:space="preserve"> REF _Ref481682858 \n \h  \* MERGEFORMAT </w:instrText>
      </w:r>
      <w:r w:rsidRPr="00DD65A0">
        <w:rPr>
          <w:b/>
          <w:lang w:val="en-US"/>
        </w:rPr>
      </w:r>
      <w:r w:rsidRPr="00DD65A0">
        <w:rPr>
          <w:b/>
          <w:lang w:val="en-US"/>
        </w:rPr>
        <w:fldChar w:fldCharType="separate"/>
      </w:r>
      <w:r w:rsidRPr="00DD65A0">
        <w:rPr>
          <w:b/>
          <w:lang w:val="en-US"/>
        </w:rPr>
        <w:t>Proposal 3:</w:t>
      </w:r>
      <w:r w:rsidRPr="00DD65A0">
        <w:rPr>
          <w:b/>
          <w:lang w:val="en-US"/>
        </w:rPr>
        <w:fldChar w:fldCharType="end"/>
      </w:r>
      <w:r w:rsidRPr="00DD65A0">
        <w:rPr>
          <w:b/>
          <w:lang w:val="en-US"/>
        </w:rPr>
        <w:t xml:space="preserve"> </w:t>
      </w:r>
      <w:r w:rsidRPr="00DD65A0">
        <w:rPr>
          <w:b/>
          <w:lang w:val="en-US"/>
        </w:rPr>
        <w:fldChar w:fldCharType="begin"/>
      </w:r>
      <w:r w:rsidRPr="00DD65A0">
        <w:rPr>
          <w:b/>
          <w:lang w:val="en-US"/>
        </w:rPr>
        <w:instrText xml:space="preserve"> REF _Ref481682858 \h  \* MERGEFORMAT </w:instrText>
      </w:r>
      <w:r w:rsidRPr="00DD65A0">
        <w:rPr>
          <w:b/>
          <w:lang w:val="en-US"/>
        </w:rPr>
      </w:r>
      <w:r w:rsidRPr="00DD65A0">
        <w:rPr>
          <w:b/>
          <w:lang w:val="en-US"/>
        </w:rPr>
        <w:fldChar w:fldCharType="separate"/>
      </w:r>
      <w:r w:rsidRPr="00DD65A0">
        <w:rPr>
          <w:b/>
          <w:lang w:val="en-US"/>
        </w:rPr>
        <w:t>RAN2 is kindly asked not to introduce a separate capability for the reception of PSCCH/PSSCH when 20/50 ms reservation period is used.</w:t>
      </w:r>
      <w:r w:rsidRPr="00DD65A0">
        <w:rPr>
          <w:b/>
          <w:lang w:val="en-US"/>
        </w:rPr>
        <w:fldChar w:fldCharType="end"/>
      </w:r>
    </w:p>
    <w:p w14:paraId="2D2CBAF8" w14:textId="74CDB585" w:rsidR="00DD65A0" w:rsidRPr="00DD65A0" w:rsidRDefault="00DD65A0" w:rsidP="00CD4C7B">
      <w:pPr>
        <w:rPr>
          <w:b/>
          <w:lang w:val="en-US"/>
        </w:rPr>
      </w:pPr>
      <w:r w:rsidRPr="00DD65A0">
        <w:rPr>
          <w:b/>
          <w:lang w:val="en-US"/>
        </w:rPr>
        <w:fldChar w:fldCharType="begin"/>
      </w:r>
      <w:r w:rsidRPr="00DD65A0">
        <w:rPr>
          <w:b/>
          <w:lang w:val="en-US"/>
        </w:rPr>
        <w:instrText xml:space="preserve"> REF _Ref481682878 \n \h  \* MERGEFORMAT </w:instrText>
      </w:r>
      <w:r w:rsidRPr="00DD65A0">
        <w:rPr>
          <w:b/>
          <w:lang w:val="en-US"/>
        </w:rPr>
      </w:r>
      <w:r w:rsidRPr="00DD65A0">
        <w:rPr>
          <w:b/>
          <w:lang w:val="en-US"/>
        </w:rPr>
        <w:fldChar w:fldCharType="separate"/>
      </w:r>
      <w:r w:rsidRPr="00DD65A0">
        <w:rPr>
          <w:b/>
          <w:lang w:val="en-US"/>
        </w:rPr>
        <w:t>Observation 1:</w:t>
      </w:r>
      <w:r w:rsidRPr="00DD65A0">
        <w:rPr>
          <w:b/>
          <w:lang w:val="en-US"/>
        </w:rPr>
        <w:fldChar w:fldCharType="end"/>
      </w:r>
      <w:r w:rsidRPr="00DD65A0">
        <w:rPr>
          <w:b/>
          <w:lang w:val="en-US"/>
        </w:rPr>
        <w:t xml:space="preserve"> </w:t>
      </w:r>
      <w:r w:rsidRPr="00DD65A0">
        <w:rPr>
          <w:b/>
          <w:lang w:val="en-US"/>
        </w:rPr>
        <w:fldChar w:fldCharType="begin"/>
      </w:r>
      <w:r w:rsidRPr="00DD65A0">
        <w:rPr>
          <w:b/>
          <w:lang w:val="en-US"/>
        </w:rPr>
        <w:instrText xml:space="preserve"> REF _Ref481682878 \h  \* MERGEFORMAT </w:instrText>
      </w:r>
      <w:r w:rsidRPr="00DD65A0">
        <w:rPr>
          <w:b/>
          <w:lang w:val="en-US"/>
        </w:rPr>
      </w:r>
      <w:r w:rsidRPr="00DD65A0">
        <w:rPr>
          <w:b/>
          <w:lang w:val="en-US"/>
        </w:rPr>
        <w:fldChar w:fldCharType="separate"/>
      </w:r>
      <w:r w:rsidRPr="00DD65A0">
        <w:rPr>
          <w:b/>
          <w:lang w:val="en-US"/>
        </w:rPr>
        <w:t>It is acceptable to keep the Rx capability per band while Tx with sensing as a per UE capability.</w:t>
      </w:r>
      <w:r w:rsidRPr="00DD65A0">
        <w:rPr>
          <w:b/>
          <w:lang w:val="en-US"/>
        </w:rPr>
        <w:fldChar w:fldCharType="end"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0CDA7B0C" w:rsidR="00CD4C7B" w:rsidRPr="006E13D1" w:rsidRDefault="00FF12CB" w:rsidP="00FF12C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481666227"/>
      <w:bookmarkStart w:id="7" w:name="_Ref75086397"/>
      <w:r>
        <w:t xml:space="preserve">R2-170xxxx </w:t>
      </w:r>
      <w:r w:rsidRPr="00FF12CB">
        <w:rPr>
          <w:i/>
        </w:rPr>
        <w:t>[97bis#17][LTE/V2X] – V2X UE capabilities e-mail discussion report</w:t>
      </w:r>
      <w:bookmarkEnd w:id="6"/>
    </w:p>
    <w:p w14:paraId="5524F183" w14:textId="3A96ED05" w:rsidR="00CD4C7B" w:rsidRPr="006E13D1" w:rsidRDefault="00F93037" w:rsidP="009D47A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8" w:name="_Ref481667156"/>
      <w:bookmarkStart w:id="9" w:name="_Ref481668216"/>
      <w:r>
        <w:t>R1-1704123</w:t>
      </w:r>
      <w:r w:rsidR="00CD4C7B" w:rsidRPr="006E13D1">
        <w:t xml:space="preserve"> </w:t>
      </w:r>
      <w:bookmarkEnd w:id="7"/>
      <w:r w:rsidRPr="00F93037">
        <w:rPr>
          <w:i/>
        </w:rPr>
        <w:t>LS on LTE Rel-14 UE feature list</w:t>
      </w:r>
      <w:r w:rsidR="0030456D">
        <w:t>,</w:t>
      </w:r>
      <w:r w:rsidR="0090466A">
        <w:t xml:space="preserve"> </w:t>
      </w:r>
      <w:bookmarkEnd w:id="8"/>
      <w:r w:rsidR="009D47AD">
        <w:t>3GPP TSG RAN WG1 Meeting #88 Athens, Greece 13th – 17th February 2017</w:t>
      </w:r>
      <w:bookmarkEnd w:id="9"/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DC240" w14:textId="77777777" w:rsidR="00160819" w:rsidRDefault="00160819">
      <w:r>
        <w:separator/>
      </w:r>
    </w:p>
  </w:endnote>
  <w:endnote w:type="continuationSeparator" w:id="0">
    <w:p w14:paraId="0F2DFB16" w14:textId="77777777" w:rsidR="00160819" w:rsidRDefault="0016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53954" w14:textId="77777777" w:rsidR="00160819" w:rsidRDefault="00160819">
      <w:r>
        <w:separator/>
      </w:r>
    </w:p>
  </w:footnote>
  <w:footnote w:type="continuationSeparator" w:id="0">
    <w:p w14:paraId="1F30990F" w14:textId="77777777" w:rsidR="00160819" w:rsidRDefault="00160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54A9D"/>
    <w:multiLevelType w:val="hybridMultilevel"/>
    <w:tmpl w:val="AC38773C"/>
    <w:lvl w:ilvl="0" w:tplc="D4928AFE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3FA6"/>
    <w:multiLevelType w:val="hybridMultilevel"/>
    <w:tmpl w:val="15A6C560"/>
    <w:lvl w:ilvl="0" w:tplc="B8C4C726">
      <w:start w:val="1"/>
      <w:numFmt w:val="decimal"/>
      <w:lvlText w:val="Proposal %1:"/>
      <w:lvlJc w:val="left"/>
      <w:pPr>
        <w:ind w:left="765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3B476D4"/>
    <w:multiLevelType w:val="hybridMultilevel"/>
    <w:tmpl w:val="D048179A"/>
    <w:lvl w:ilvl="0" w:tplc="C2B06D08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ACE78E5"/>
    <w:multiLevelType w:val="hybridMultilevel"/>
    <w:tmpl w:val="58447F88"/>
    <w:lvl w:ilvl="0" w:tplc="AA0C1544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1031"/>
    <w:rsid w:val="000162F5"/>
    <w:rsid w:val="00033397"/>
    <w:rsid w:val="00040095"/>
    <w:rsid w:val="00080512"/>
    <w:rsid w:val="00090468"/>
    <w:rsid w:val="000B7BCF"/>
    <w:rsid w:val="000C4B9B"/>
    <w:rsid w:val="000C522B"/>
    <w:rsid w:val="000D58AB"/>
    <w:rsid w:val="00123898"/>
    <w:rsid w:val="00145075"/>
    <w:rsid w:val="00160819"/>
    <w:rsid w:val="001741A0"/>
    <w:rsid w:val="00194CD0"/>
    <w:rsid w:val="001B49C9"/>
    <w:rsid w:val="001D3FA9"/>
    <w:rsid w:val="001E4420"/>
    <w:rsid w:val="001F168B"/>
    <w:rsid w:val="001F7831"/>
    <w:rsid w:val="00204045"/>
    <w:rsid w:val="0022606D"/>
    <w:rsid w:val="0025466F"/>
    <w:rsid w:val="002747EC"/>
    <w:rsid w:val="002855BF"/>
    <w:rsid w:val="002A4FC6"/>
    <w:rsid w:val="002F0D22"/>
    <w:rsid w:val="002F6322"/>
    <w:rsid w:val="0030456D"/>
    <w:rsid w:val="003172DC"/>
    <w:rsid w:val="00326069"/>
    <w:rsid w:val="0035462D"/>
    <w:rsid w:val="003614BB"/>
    <w:rsid w:val="003905BB"/>
    <w:rsid w:val="003B40AD"/>
    <w:rsid w:val="003C4E37"/>
    <w:rsid w:val="003E16BE"/>
    <w:rsid w:val="00401855"/>
    <w:rsid w:val="00417E23"/>
    <w:rsid w:val="00435899"/>
    <w:rsid w:val="0045251C"/>
    <w:rsid w:val="00477455"/>
    <w:rsid w:val="004B3E93"/>
    <w:rsid w:val="004D3578"/>
    <w:rsid w:val="004D380D"/>
    <w:rsid w:val="004E213A"/>
    <w:rsid w:val="00503171"/>
    <w:rsid w:val="00506C28"/>
    <w:rsid w:val="00534DA0"/>
    <w:rsid w:val="00537C36"/>
    <w:rsid w:val="00543E6C"/>
    <w:rsid w:val="00565087"/>
    <w:rsid w:val="0056573F"/>
    <w:rsid w:val="00611566"/>
    <w:rsid w:val="00643DD6"/>
    <w:rsid w:val="00646D99"/>
    <w:rsid w:val="00656910"/>
    <w:rsid w:val="0066178B"/>
    <w:rsid w:val="006C66D8"/>
    <w:rsid w:val="006D1E24"/>
    <w:rsid w:val="006E1417"/>
    <w:rsid w:val="006F6A2C"/>
    <w:rsid w:val="00710201"/>
    <w:rsid w:val="00734A5B"/>
    <w:rsid w:val="007446AB"/>
    <w:rsid w:val="00744E76"/>
    <w:rsid w:val="00757D40"/>
    <w:rsid w:val="00781F0F"/>
    <w:rsid w:val="00785D1A"/>
    <w:rsid w:val="0078727C"/>
    <w:rsid w:val="0079049D"/>
    <w:rsid w:val="007B18D8"/>
    <w:rsid w:val="007C095F"/>
    <w:rsid w:val="007C56E6"/>
    <w:rsid w:val="007E77B4"/>
    <w:rsid w:val="008028A4"/>
    <w:rsid w:val="00813245"/>
    <w:rsid w:val="008768CA"/>
    <w:rsid w:val="00877EF9"/>
    <w:rsid w:val="00880559"/>
    <w:rsid w:val="008B3E63"/>
    <w:rsid w:val="008B5306"/>
    <w:rsid w:val="0090271F"/>
    <w:rsid w:val="00902DB9"/>
    <w:rsid w:val="0090466A"/>
    <w:rsid w:val="00936071"/>
    <w:rsid w:val="00936311"/>
    <w:rsid w:val="00940212"/>
    <w:rsid w:val="00942EC2"/>
    <w:rsid w:val="00961B32"/>
    <w:rsid w:val="00970DB3"/>
    <w:rsid w:val="00974BB0"/>
    <w:rsid w:val="009A0AF3"/>
    <w:rsid w:val="009B07CD"/>
    <w:rsid w:val="009C19E9"/>
    <w:rsid w:val="009D47AD"/>
    <w:rsid w:val="00A10A3F"/>
    <w:rsid w:val="00A10F02"/>
    <w:rsid w:val="00A204CA"/>
    <w:rsid w:val="00A332C4"/>
    <w:rsid w:val="00A53724"/>
    <w:rsid w:val="00A82346"/>
    <w:rsid w:val="00A9671C"/>
    <w:rsid w:val="00AA1553"/>
    <w:rsid w:val="00AC0176"/>
    <w:rsid w:val="00AD42A0"/>
    <w:rsid w:val="00B15449"/>
    <w:rsid w:val="00B47FD1"/>
    <w:rsid w:val="00B516BB"/>
    <w:rsid w:val="00B55674"/>
    <w:rsid w:val="00C12B51"/>
    <w:rsid w:val="00C24650"/>
    <w:rsid w:val="00C33079"/>
    <w:rsid w:val="00C33CF3"/>
    <w:rsid w:val="00C83A13"/>
    <w:rsid w:val="00C9068C"/>
    <w:rsid w:val="00C9296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B6429"/>
    <w:rsid w:val="00DC309B"/>
    <w:rsid w:val="00DC4DA2"/>
    <w:rsid w:val="00DD65A0"/>
    <w:rsid w:val="00E62835"/>
    <w:rsid w:val="00E63364"/>
    <w:rsid w:val="00E77645"/>
    <w:rsid w:val="00E83697"/>
    <w:rsid w:val="00EC4A25"/>
    <w:rsid w:val="00ED6511"/>
    <w:rsid w:val="00F025A2"/>
    <w:rsid w:val="00F07388"/>
    <w:rsid w:val="00F13BC0"/>
    <w:rsid w:val="00F2026E"/>
    <w:rsid w:val="00F2210A"/>
    <w:rsid w:val="00F37743"/>
    <w:rsid w:val="00F52F0B"/>
    <w:rsid w:val="00F54A3D"/>
    <w:rsid w:val="00F653B8"/>
    <w:rsid w:val="00F71B89"/>
    <w:rsid w:val="00F7353C"/>
    <w:rsid w:val="00F76F8F"/>
    <w:rsid w:val="00F93037"/>
    <w:rsid w:val="00FA1266"/>
    <w:rsid w:val="00FB0150"/>
    <w:rsid w:val="00FC1192"/>
    <w:rsid w:val="00FE20AC"/>
    <w:rsid w:val="00FF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FF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5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SP-5AIRPNAIUNRU-859666464-327</_dlc_DocId>
    <_dlc_DocIdUrl xmlns="71c5aaf6-e6ce-465b-b873-5148d2a4c105">
      <Url>https://nokia.sharepoint.com/sites/c5g/e2earch/_layouts/15/DocIdRedir.aspx?ID=SP-5AIRPNAIUNRU-859666464-327</Url>
      <Description>SP-5AIRPNAIUNRU-859666464-327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E3053E-7E27-46F0-AAE7-5C782BE7E9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111E37-9090-4D08-8C40-D8664592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56F8A1-E82D-442A-97FD-C43685E0FD9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A16E2DA-4DEB-4105-9155-D09CD198D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7497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Nokia</cp:lastModifiedBy>
  <cp:revision>6</cp:revision>
  <dcterms:created xsi:type="dcterms:W3CDTF">2017-05-05T14:15:00Z</dcterms:created>
  <dcterms:modified xsi:type="dcterms:W3CDTF">2017-05-05T15:08:00Z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c7fd6d6a-c6c7-4043-b2b2-fd7da767c972</vt:lpwstr>
  </property>
</Properties>
</file>